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C1564" w14:textId="40841185" w:rsidR="006C5B1E" w:rsidRPr="006C5B1E" w:rsidRDefault="006C5B1E" w:rsidP="006C5B1E">
      <w:pPr>
        <w:tabs>
          <w:tab w:val="left" w:pos="1104"/>
        </w:tabs>
        <w:rPr>
          <w:b/>
          <w:bCs/>
        </w:rPr>
      </w:pPr>
    </w:p>
    <w:p w14:paraId="7D0E87B7" w14:textId="25A0E4F9" w:rsidR="006C5B1E" w:rsidRPr="006C5B1E" w:rsidRDefault="006C5B1E" w:rsidP="006C5B1E">
      <w:pPr>
        <w:tabs>
          <w:tab w:val="left" w:pos="1104"/>
        </w:tabs>
        <w:jc w:val="both"/>
        <w:rPr>
          <w:rFonts w:ascii="Times New Roman" w:hAnsi="Times New Roman" w:cs="Times New Roman"/>
          <w:b/>
          <w:bCs/>
          <w:sz w:val="24"/>
          <w:szCs w:val="24"/>
        </w:rPr>
      </w:pPr>
      <w:r w:rsidRPr="006C5B1E">
        <w:rPr>
          <w:rFonts w:ascii="Times New Roman" w:hAnsi="Times New Roman" w:cs="Times New Roman"/>
          <w:b/>
          <w:bCs/>
          <w:sz w:val="24"/>
          <w:szCs w:val="24"/>
        </w:rPr>
        <w:t>U E F A</w:t>
      </w:r>
    </w:p>
    <w:p w14:paraId="19F75D16" w14:textId="287CED24" w:rsidR="006C5B1E" w:rsidRPr="006C5B1E" w:rsidRDefault="006C5B1E" w:rsidP="006C5B1E">
      <w:pPr>
        <w:tabs>
          <w:tab w:val="left" w:pos="1104"/>
        </w:tabs>
        <w:jc w:val="both"/>
        <w:rPr>
          <w:rFonts w:ascii="Times New Roman" w:hAnsi="Times New Roman" w:cs="Times New Roman"/>
          <w:b/>
          <w:bCs/>
          <w:sz w:val="24"/>
          <w:szCs w:val="24"/>
        </w:rPr>
      </w:pPr>
      <w:proofErr w:type="spellStart"/>
      <w:r w:rsidRPr="006C5B1E">
        <w:rPr>
          <w:rFonts w:ascii="Times New Roman" w:hAnsi="Times New Roman" w:cs="Times New Roman"/>
          <w:b/>
          <w:bCs/>
          <w:sz w:val="24"/>
          <w:szCs w:val="24"/>
        </w:rPr>
        <w:t>Gospodin</w:t>
      </w:r>
      <w:proofErr w:type="spellEnd"/>
      <w:r w:rsidRPr="006C5B1E">
        <w:rPr>
          <w:rFonts w:ascii="Times New Roman" w:hAnsi="Times New Roman" w:cs="Times New Roman"/>
          <w:b/>
          <w:bCs/>
          <w:sz w:val="24"/>
          <w:szCs w:val="24"/>
        </w:rPr>
        <w:t xml:space="preserve"> Theodore Theodoridis</w:t>
      </w:r>
    </w:p>
    <w:p w14:paraId="41BACB64" w14:textId="77777777" w:rsidR="006C5B1E" w:rsidRPr="006C5B1E" w:rsidRDefault="006C5B1E" w:rsidP="006C5B1E">
      <w:pPr>
        <w:tabs>
          <w:tab w:val="left" w:pos="1104"/>
        </w:tabs>
        <w:jc w:val="both"/>
        <w:rPr>
          <w:rFonts w:ascii="Times New Roman" w:hAnsi="Times New Roman" w:cs="Times New Roman"/>
          <w:b/>
          <w:bCs/>
          <w:sz w:val="24"/>
          <w:szCs w:val="24"/>
        </w:rPr>
      </w:pPr>
      <w:proofErr w:type="spellStart"/>
      <w:r w:rsidRPr="006C5B1E">
        <w:rPr>
          <w:rFonts w:ascii="Times New Roman" w:hAnsi="Times New Roman" w:cs="Times New Roman"/>
          <w:b/>
          <w:bCs/>
          <w:sz w:val="24"/>
          <w:szCs w:val="24"/>
        </w:rPr>
        <w:t>Generalni</w:t>
      </w:r>
      <w:proofErr w:type="spellEnd"/>
      <w:r w:rsidRPr="006C5B1E">
        <w:rPr>
          <w:rFonts w:ascii="Times New Roman" w:hAnsi="Times New Roman" w:cs="Times New Roman"/>
          <w:b/>
          <w:bCs/>
          <w:sz w:val="24"/>
          <w:szCs w:val="24"/>
        </w:rPr>
        <w:t xml:space="preserve"> </w:t>
      </w:r>
      <w:proofErr w:type="spellStart"/>
      <w:r w:rsidRPr="006C5B1E">
        <w:rPr>
          <w:rFonts w:ascii="Times New Roman" w:hAnsi="Times New Roman" w:cs="Times New Roman"/>
          <w:b/>
          <w:bCs/>
          <w:sz w:val="24"/>
          <w:szCs w:val="24"/>
        </w:rPr>
        <w:t>sekretar</w:t>
      </w:r>
      <w:proofErr w:type="spellEnd"/>
    </w:p>
    <w:p w14:paraId="36199039" w14:textId="77777777" w:rsidR="006C5B1E" w:rsidRPr="006C5B1E" w:rsidRDefault="006C5B1E" w:rsidP="006C5B1E">
      <w:pPr>
        <w:tabs>
          <w:tab w:val="left" w:pos="1104"/>
        </w:tabs>
        <w:jc w:val="both"/>
        <w:rPr>
          <w:rFonts w:ascii="Times New Roman" w:hAnsi="Times New Roman" w:cs="Times New Roman"/>
          <w:sz w:val="24"/>
          <w:szCs w:val="24"/>
        </w:rPr>
      </w:pPr>
    </w:p>
    <w:p w14:paraId="7DFB100E" w14:textId="77777777" w:rsidR="006C5B1E" w:rsidRPr="006C5B1E" w:rsidRDefault="006C5B1E" w:rsidP="006C5B1E">
      <w:pPr>
        <w:tabs>
          <w:tab w:val="left" w:pos="1104"/>
        </w:tabs>
        <w:jc w:val="both"/>
        <w:rPr>
          <w:rFonts w:ascii="Times New Roman" w:hAnsi="Times New Roman" w:cs="Times New Roman"/>
          <w:sz w:val="24"/>
          <w:szCs w:val="24"/>
          <w:lang w:val="sr-Latn-RS"/>
        </w:rPr>
      </w:pPr>
      <w:r w:rsidRPr="006C5B1E">
        <w:rPr>
          <w:rFonts w:ascii="Times New Roman" w:hAnsi="Times New Roman" w:cs="Times New Roman"/>
          <w:sz w:val="24"/>
          <w:szCs w:val="24"/>
        </w:rPr>
        <w:tab/>
        <w:t>Po</w:t>
      </w:r>
      <w:r w:rsidRPr="006C5B1E">
        <w:rPr>
          <w:rFonts w:ascii="Times New Roman" w:hAnsi="Times New Roman" w:cs="Times New Roman"/>
          <w:sz w:val="24"/>
          <w:szCs w:val="24"/>
          <w:lang w:val="sr-Latn-RS"/>
        </w:rPr>
        <w:t>štovani Gospodine Theodoridis,</w:t>
      </w:r>
    </w:p>
    <w:p w14:paraId="23A3DD74" w14:textId="77777777" w:rsidR="006C5B1E" w:rsidRPr="006C5B1E" w:rsidRDefault="006C5B1E" w:rsidP="006C5B1E">
      <w:pPr>
        <w:tabs>
          <w:tab w:val="left" w:pos="1104"/>
        </w:tabs>
        <w:jc w:val="both"/>
        <w:rPr>
          <w:rFonts w:ascii="Times New Roman" w:hAnsi="Times New Roman" w:cs="Times New Roman"/>
          <w:sz w:val="24"/>
          <w:szCs w:val="24"/>
          <w:lang w:val="sr-Latn-RS"/>
        </w:rPr>
      </w:pPr>
    </w:p>
    <w:p w14:paraId="4585DF1F" w14:textId="7D48ACE4" w:rsidR="006C5B1E" w:rsidRPr="006C5B1E" w:rsidRDefault="006C5B1E" w:rsidP="006C5B1E">
      <w:pPr>
        <w:tabs>
          <w:tab w:val="left" w:pos="1104"/>
        </w:tabs>
        <w:jc w:val="both"/>
        <w:rPr>
          <w:rFonts w:ascii="Times New Roman" w:hAnsi="Times New Roman" w:cs="Times New Roman"/>
          <w:sz w:val="24"/>
          <w:szCs w:val="24"/>
          <w:lang w:val="sr-Latn-RS"/>
        </w:rPr>
      </w:pPr>
      <w:r w:rsidRPr="006C5B1E">
        <w:rPr>
          <w:rFonts w:ascii="Times New Roman" w:hAnsi="Times New Roman" w:cs="Times New Roman"/>
          <w:sz w:val="24"/>
          <w:szCs w:val="24"/>
          <w:lang w:val="sr-Latn-RS"/>
        </w:rPr>
        <w:tab/>
        <w:t xml:space="preserve">Fudbalski savez Srbije </w:t>
      </w:r>
      <w:r w:rsidR="000843CE">
        <w:rPr>
          <w:rFonts w:ascii="Times New Roman" w:hAnsi="Times New Roman" w:cs="Times New Roman"/>
          <w:sz w:val="24"/>
          <w:szCs w:val="24"/>
          <w:lang w:val="sr-Latn-RS"/>
        </w:rPr>
        <w:t>V</w:t>
      </w:r>
      <w:r w:rsidRPr="006C5B1E">
        <w:rPr>
          <w:rFonts w:ascii="Times New Roman" w:hAnsi="Times New Roman" w:cs="Times New Roman"/>
          <w:sz w:val="24"/>
          <w:szCs w:val="24"/>
          <w:lang w:val="sr-Latn-RS"/>
        </w:rPr>
        <w:t xml:space="preserve">am se obraća povodom događanja na jučerašnjoj utakmici EURO 2024 Final Tournament između nacionalnih timova Hrvatske i Albanije (Group stage, Group B, Hamburg, 19.06.2024.), kada je došlo do sramnog zajedničkog skandiranja navijača oba nacionalna tima, a koje je bilo upereno protiv srpske nacije u celini. </w:t>
      </w:r>
    </w:p>
    <w:p w14:paraId="5649EE03" w14:textId="587341AD" w:rsidR="006C5B1E" w:rsidRPr="006C5B1E" w:rsidRDefault="006C5B1E" w:rsidP="006C5B1E">
      <w:pPr>
        <w:tabs>
          <w:tab w:val="left" w:pos="1104"/>
        </w:tabs>
        <w:jc w:val="both"/>
        <w:rPr>
          <w:rFonts w:ascii="Times New Roman" w:hAnsi="Times New Roman" w:cs="Times New Roman"/>
          <w:sz w:val="24"/>
          <w:szCs w:val="24"/>
        </w:rPr>
      </w:pP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 xml:space="preserve">Kao što ste verovatno informisani hrvatski i albanski navijači su od 58 minuta i 28 sekundi do 58 minuta i 50 sekundi zajednički vikali „Ubi, ubi Srbina“. </w:t>
      </w:r>
      <w:r w:rsidRPr="006C5B1E">
        <w:rPr>
          <w:rFonts w:ascii="Times New Roman" w:hAnsi="Times New Roman" w:cs="Times New Roman"/>
          <w:sz w:val="24"/>
          <w:szCs w:val="24"/>
        </w:rPr>
        <w:t xml:space="preserve">U </w:t>
      </w:r>
      <w:proofErr w:type="spellStart"/>
      <w:r w:rsidRPr="006C5B1E">
        <w:rPr>
          <w:rFonts w:ascii="Times New Roman" w:hAnsi="Times New Roman" w:cs="Times New Roman"/>
          <w:sz w:val="24"/>
          <w:szCs w:val="24"/>
        </w:rPr>
        <w:t>pitanju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nisu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bili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pojedinci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iz</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navijačkih</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redova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već</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veliki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broj</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navijača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ovih</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nacionalnih</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timova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što</w:t>
      </w:r>
      <w:proofErr w:type="spellEnd"/>
      <w:r w:rsidRPr="006C5B1E">
        <w:rPr>
          <w:rFonts w:ascii="Times New Roman" w:hAnsi="Times New Roman" w:cs="Times New Roman"/>
          <w:sz w:val="24"/>
          <w:szCs w:val="24"/>
        </w:rPr>
        <w:t xml:space="preserve"> u tom </w:t>
      </w:r>
      <w:proofErr w:type="spellStart"/>
      <w:r w:rsidRPr="006C5B1E">
        <w:rPr>
          <w:rFonts w:ascii="Times New Roman" w:hAnsi="Times New Roman" w:cs="Times New Roman"/>
          <w:sz w:val="24"/>
          <w:szCs w:val="24"/>
        </w:rPr>
        <w:t>trenutk</w:t>
      </w:r>
      <w:r w:rsidR="004E6B14">
        <w:rPr>
          <w:rFonts w:ascii="Times New Roman" w:hAnsi="Times New Roman" w:cs="Times New Roman"/>
          <w:sz w:val="24"/>
          <w:szCs w:val="24"/>
        </w:rPr>
        <w:t>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nije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sankcionisano</w:t>
      </w:r>
      <w:proofErr w:type="spellEnd"/>
      <w:r w:rsidRPr="006C5B1E">
        <w:rPr>
          <w:rFonts w:ascii="Times New Roman" w:hAnsi="Times New Roman" w:cs="Times New Roman"/>
          <w:sz w:val="24"/>
          <w:szCs w:val="24"/>
        </w:rPr>
        <w:t xml:space="preserve"> u </w:t>
      </w:r>
      <w:proofErr w:type="spellStart"/>
      <w:r w:rsidRPr="006C5B1E">
        <w:rPr>
          <w:rFonts w:ascii="Times New Roman" w:hAnsi="Times New Roman" w:cs="Times New Roman"/>
          <w:sz w:val="24"/>
          <w:szCs w:val="24"/>
        </w:rPr>
        <w:t>skladu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propisima</w:t>
      </w:r>
      <w:proofErr w:type="spellEnd"/>
      <w:r w:rsidRPr="006C5B1E">
        <w:rPr>
          <w:rFonts w:ascii="Times New Roman" w:hAnsi="Times New Roman" w:cs="Times New Roman"/>
          <w:sz w:val="24"/>
          <w:szCs w:val="24"/>
        </w:rPr>
        <w:t xml:space="preserve"> UEFA koji </w:t>
      </w:r>
      <w:proofErr w:type="spellStart"/>
      <w:r w:rsidRPr="006C5B1E">
        <w:rPr>
          <w:rFonts w:ascii="Times New Roman" w:hAnsi="Times New Roman" w:cs="Times New Roman"/>
          <w:sz w:val="24"/>
          <w:szCs w:val="24"/>
        </w:rPr>
        <w:t>su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jasni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kao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samo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postupanje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službenih</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lica</w:t>
      </w:r>
      <w:proofErr w:type="spellEnd"/>
      <w:r w:rsidRPr="006C5B1E">
        <w:rPr>
          <w:rFonts w:ascii="Times New Roman" w:hAnsi="Times New Roman" w:cs="Times New Roman"/>
          <w:sz w:val="24"/>
          <w:szCs w:val="24"/>
        </w:rPr>
        <w:t xml:space="preserve"> u </w:t>
      </w:r>
      <w:proofErr w:type="spellStart"/>
      <w:r w:rsidRPr="006C5B1E">
        <w:rPr>
          <w:rFonts w:ascii="Times New Roman" w:hAnsi="Times New Roman" w:cs="Times New Roman"/>
          <w:sz w:val="24"/>
          <w:szCs w:val="24"/>
        </w:rPr>
        <w:t>tim</w:t>
      </w:r>
      <w:proofErr w:type="spellEnd"/>
      <w:r w:rsidRPr="006C5B1E">
        <w:rPr>
          <w:rFonts w:ascii="Times New Roman" w:hAnsi="Times New Roman" w:cs="Times New Roman"/>
          <w:sz w:val="24"/>
          <w:szCs w:val="24"/>
        </w:rPr>
        <w:t xml:space="preserve"> situacijama. </w:t>
      </w:r>
    </w:p>
    <w:p w14:paraId="516A9AF9" w14:textId="2AB11659" w:rsidR="006C5B1E" w:rsidRPr="006C5B1E" w:rsidRDefault="006C5B1E" w:rsidP="006C5B1E">
      <w:pPr>
        <w:tabs>
          <w:tab w:val="left" w:pos="1104"/>
        </w:tabs>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Ovakvo ponašanje je neprihvatljivo u svim situacijama, a naročito na jednom ovakvom velikom sportskom događaju koji se prati širom Evrope i sveta. Umesto da fudbalski stadion bude mesto gde će se bodriti sopstveni timovi i promovisati sportska i fer atmosfera, na ovoj utakmici viđena su potpuno neprihvatljiva ponašanja, koje je nemoguće na bilo koji način opravdati. Prema informacijama koje imamo, jedan igrač albanskog tima je nakon završetka utakmice, ispred tribine sa albanskim navijačima, koristeći megafon uzvikivao isti povik i tako „raspaljivao“ masu.</w:t>
      </w:r>
    </w:p>
    <w:p w14:paraId="776AC4D4" w14:textId="03B87023" w:rsidR="006C5B1E" w:rsidRPr="006C5B1E" w:rsidRDefault="006C5B1E" w:rsidP="006C5B1E">
      <w:pPr>
        <w:tabs>
          <w:tab w:val="left" w:pos="1104"/>
        </w:tabs>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Fudbalski savez Srbije smatra da je u momentu kada je počelo skandiranje navijača oba nacionalna tima koje je gore navedeno, utakmicu trebalo prekinuti i pristupiti postupku „tri koraka“. To je izričito predviđeno u pro</w:t>
      </w:r>
      <w:r>
        <w:rPr>
          <w:rFonts w:ascii="Times New Roman" w:hAnsi="Times New Roman" w:cs="Times New Roman"/>
          <w:sz w:val="24"/>
          <w:szCs w:val="24"/>
          <w:lang w:val="sr-Latn-RS"/>
        </w:rPr>
        <w:t>pisu</w:t>
      </w:r>
      <w:r w:rsidRPr="006C5B1E">
        <w:rPr>
          <w:rFonts w:ascii="Times New Roman" w:hAnsi="Times New Roman" w:cs="Times New Roman"/>
          <w:sz w:val="24"/>
          <w:szCs w:val="24"/>
          <w:lang w:val="sr-Latn-RS"/>
        </w:rPr>
        <w:t xml:space="preserve"> UEFA</w:t>
      </w: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w:t>
      </w:r>
      <w:r w:rsidRPr="006C5B1E">
        <w:rPr>
          <w:rFonts w:ascii="Times New Roman" w:hAnsi="Times New Roman" w:cs="Times New Roman"/>
          <w:sz w:val="24"/>
          <w:szCs w:val="24"/>
        </w:rPr>
        <w:t xml:space="preserve">Guidelines for Match Officials in cases of Racist Behavior in Football Stadiums” </w:t>
      </w:r>
      <w:r w:rsidRPr="006C5B1E">
        <w:rPr>
          <w:rFonts w:ascii="Times New Roman" w:hAnsi="Times New Roman" w:cs="Times New Roman"/>
          <w:sz w:val="24"/>
          <w:szCs w:val="24"/>
          <w:lang w:val="sr-Latn-RS"/>
        </w:rPr>
        <w:t>i čudi nas da ono nije primenjeno od strane službenih lica UEFA na utakmici. To pravilo se na pravi način primenjivalo u slučajevima puno manjeg intenziteta, pa nas tim više iznenađeni što nije primenjeno na ovoj utakmici.</w:t>
      </w:r>
    </w:p>
    <w:p w14:paraId="65391280" w14:textId="7436ADC2" w:rsidR="006C5B1E" w:rsidRPr="006C5B1E" w:rsidRDefault="006C5B1E" w:rsidP="006C5B1E">
      <w:pPr>
        <w:tabs>
          <w:tab w:val="left" w:pos="1104"/>
        </w:tabs>
        <w:jc w:val="both"/>
        <w:rPr>
          <w:rFonts w:ascii="Times New Roman" w:hAnsi="Times New Roman" w:cs="Times New Roman"/>
          <w:sz w:val="24"/>
          <w:szCs w:val="24"/>
        </w:rPr>
      </w:pP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Fudbalski savez Srbije veruje da će disciplinski organi UEFA na pravi način reagovati i sankcionisati ovako ponašanje navijača oba nacionalna tima. Ovakvo vređanje jedne nacije sa povicima da treba da budu ubijeni, odavno nije viđeno na sportskim događajima. Kao građani Republike Srbije, kao sportski-fudbalski radnici koji su čvrsto opredeljeni za sprovođenje univerzalnih sportskih principa i fer pleja, veoma smo povređeni događajima na ovoj utakmici.</w:t>
      </w:r>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Obzirom</w:t>
      </w:r>
      <w:proofErr w:type="spellEnd"/>
      <w:r w:rsidRPr="006C5B1E">
        <w:rPr>
          <w:rFonts w:ascii="Times New Roman" w:hAnsi="Times New Roman" w:cs="Times New Roman"/>
          <w:sz w:val="24"/>
          <w:szCs w:val="24"/>
        </w:rPr>
        <w:t xml:space="preserve"> da </w:t>
      </w:r>
      <w:proofErr w:type="spellStart"/>
      <w:r w:rsidRPr="006C5B1E">
        <w:rPr>
          <w:rFonts w:ascii="Times New Roman" w:hAnsi="Times New Roman" w:cs="Times New Roman"/>
          <w:sz w:val="24"/>
          <w:szCs w:val="24"/>
        </w:rPr>
        <w:t>ovakvo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divljanje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velikog</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broja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navijača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koje</w:t>
      </w:r>
      <w:proofErr w:type="spellEnd"/>
      <w:r w:rsidRPr="006C5B1E">
        <w:rPr>
          <w:rFonts w:ascii="Times New Roman" w:hAnsi="Times New Roman" w:cs="Times New Roman"/>
          <w:sz w:val="24"/>
          <w:szCs w:val="24"/>
        </w:rPr>
        <w:t xml:space="preserve"> se ne </w:t>
      </w:r>
      <w:proofErr w:type="spellStart"/>
      <w:r w:rsidRPr="006C5B1E">
        <w:rPr>
          <w:rFonts w:ascii="Times New Roman" w:hAnsi="Times New Roman" w:cs="Times New Roman"/>
          <w:sz w:val="24"/>
          <w:szCs w:val="24"/>
        </w:rPr>
        <w:t>može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nazvati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ponašanjem</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nije</w:t>
      </w:r>
      <w:proofErr w:type="spellEnd"/>
      <w:r w:rsidRPr="006C5B1E">
        <w:rPr>
          <w:rFonts w:ascii="Times New Roman" w:hAnsi="Times New Roman" w:cs="Times New Roman"/>
          <w:sz w:val="24"/>
          <w:szCs w:val="24"/>
        </w:rPr>
        <w:t xml:space="preserve"> u </w:t>
      </w:r>
      <w:proofErr w:type="spellStart"/>
      <w:r w:rsidRPr="006C5B1E">
        <w:rPr>
          <w:rFonts w:ascii="Times New Roman" w:hAnsi="Times New Roman" w:cs="Times New Roman"/>
          <w:sz w:val="24"/>
          <w:szCs w:val="24"/>
        </w:rPr>
        <w:t>skladu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propisima</w:t>
      </w:r>
      <w:proofErr w:type="spellEnd"/>
      <w:r w:rsidRPr="006C5B1E">
        <w:rPr>
          <w:rFonts w:ascii="Times New Roman" w:hAnsi="Times New Roman" w:cs="Times New Roman"/>
          <w:sz w:val="24"/>
          <w:szCs w:val="24"/>
        </w:rPr>
        <w:t xml:space="preserve"> UEFA </w:t>
      </w:r>
      <w:proofErr w:type="spellStart"/>
      <w:r w:rsidRPr="006C5B1E">
        <w:rPr>
          <w:rFonts w:ascii="Times New Roman" w:hAnsi="Times New Roman" w:cs="Times New Roman"/>
          <w:sz w:val="24"/>
          <w:szCs w:val="24"/>
        </w:rPr>
        <w:t>kao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elementarnim</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ljudskim</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ponašanjem</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molimo</w:t>
      </w:r>
      <w:proofErr w:type="spellEnd"/>
      <w:r w:rsidRPr="006C5B1E">
        <w:rPr>
          <w:rFonts w:ascii="Times New Roman" w:hAnsi="Times New Roman" w:cs="Times New Roman"/>
          <w:sz w:val="24"/>
          <w:szCs w:val="24"/>
        </w:rPr>
        <w:t xml:space="preserve"> Vas da </w:t>
      </w:r>
      <w:proofErr w:type="spellStart"/>
      <w:r w:rsidRPr="006C5B1E">
        <w:rPr>
          <w:rFonts w:ascii="Times New Roman" w:hAnsi="Times New Roman" w:cs="Times New Roman"/>
          <w:sz w:val="24"/>
          <w:szCs w:val="24"/>
        </w:rPr>
        <w:t>najhitnije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najoštrije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kaznite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ogovorne</w:t>
      </w:r>
      <w:proofErr w:type="spellEnd"/>
      <w:r w:rsidRPr="006C5B1E">
        <w:rPr>
          <w:rFonts w:ascii="Times New Roman" w:hAnsi="Times New Roman" w:cs="Times New Roman"/>
          <w:sz w:val="24"/>
          <w:szCs w:val="24"/>
        </w:rPr>
        <w:t xml:space="preserve"> za gore </w:t>
      </w:r>
      <w:proofErr w:type="spellStart"/>
      <w:r w:rsidRPr="006C5B1E">
        <w:rPr>
          <w:rFonts w:ascii="Times New Roman" w:hAnsi="Times New Roman" w:cs="Times New Roman"/>
          <w:sz w:val="24"/>
          <w:szCs w:val="24"/>
        </w:rPr>
        <w:t>pomenute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događaje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obezbedite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normalno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odigravanje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utakmica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Želimo</w:t>
      </w:r>
      <w:proofErr w:type="spellEnd"/>
      <w:r w:rsidRPr="006C5B1E">
        <w:rPr>
          <w:rFonts w:ascii="Times New Roman" w:hAnsi="Times New Roman" w:cs="Times New Roman"/>
          <w:sz w:val="24"/>
          <w:szCs w:val="24"/>
        </w:rPr>
        <w:t xml:space="preserve"> da Vas </w:t>
      </w:r>
      <w:proofErr w:type="spellStart"/>
      <w:r w:rsidRPr="006C5B1E">
        <w:rPr>
          <w:rFonts w:ascii="Times New Roman" w:hAnsi="Times New Roman" w:cs="Times New Roman"/>
          <w:sz w:val="24"/>
          <w:szCs w:val="24"/>
        </w:rPr>
        <w:t>podsetimo</w:t>
      </w:r>
      <w:proofErr w:type="spellEnd"/>
      <w:r w:rsidRPr="006C5B1E">
        <w:rPr>
          <w:rFonts w:ascii="Times New Roman" w:hAnsi="Times New Roman" w:cs="Times New Roman"/>
          <w:sz w:val="24"/>
          <w:szCs w:val="24"/>
        </w:rPr>
        <w:t xml:space="preserve"> </w:t>
      </w:r>
      <w:r w:rsidRPr="006C5B1E">
        <w:rPr>
          <w:rFonts w:ascii="Times New Roman" w:hAnsi="Times New Roman" w:cs="Times New Roman"/>
          <w:sz w:val="24"/>
          <w:szCs w:val="24"/>
        </w:rPr>
        <w:lastRenderedPageBreak/>
        <w:t xml:space="preserve">da </w:t>
      </w:r>
      <w:proofErr w:type="spellStart"/>
      <w:r w:rsidRPr="006C5B1E">
        <w:rPr>
          <w:rFonts w:ascii="Times New Roman" w:hAnsi="Times New Roman" w:cs="Times New Roman"/>
          <w:sz w:val="24"/>
          <w:szCs w:val="24"/>
        </w:rPr>
        <w:t>ovakvo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divljanje</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mržnja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rasizam</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predstavljaju</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sve</w:t>
      </w:r>
      <w:proofErr w:type="spellEnd"/>
      <w:r w:rsidRPr="006C5B1E">
        <w:rPr>
          <w:rFonts w:ascii="Times New Roman" w:hAnsi="Times New Roman" w:cs="Times New Roman"/>
          <w:sz w:val="24"/>
          <w:szCs w:val="24"/>
        </w:rPr>
        <w:t xml:space="preserve"> ono </w:t>
      </w:r>
      <w:proofErr w:type="spellStart"/>
      <w:r w:rsidRPr="006C5B1E">
        <w:rPr>
          <w:rFonts w:ascii="Times New Roman" w:hAnsi="Times New Roman" w:cs="Times New Roman"/>
          <w:sz w:val="24"/>
          <w:szCs w:val="24"/>
        </w:rPr>
        <w:t>protiv</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čega</w:t>
      </w:r>
      <w:proofErr w:type="spellEnd"/>
      <w:r w:rsidRPr="006C5B1E">
        <w:rPr>
          <w:rFonts w:ascii="Times New Roman" w:hAnsi="Times New Roman" w:cs="Times New Roman"/>
          <w:sz w:val="24"/>
          <w:szCs w:val="24"/>
        </w:rPr>
        <w:t xml:space="preserve"> se </w:t>
      </w:r>
      <w:proofErr w:type="spellStart"/>
      <w:r w:rsidRPr="006C5B1E">
        <w:rPr>
          <w:rFonts w:ascii="Times New Roman" w:hAnsi="Times New Roman" w:cs="Times New Roman"/>
          <w:sz w:val="24"/>
          <w:szCs w:val="24"/>
        </w:rPr>
        <w:t>Vaša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organizacija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deklativno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bori</w:t>
      </w:r>
      <w:proofErr w:type="spellEnd"/>
      <w:r w:rsidRPr="006C5B1E">
        <w:rPr>
          <w:rFonts w:ascii="Times New Roman" w:hAnsi="Times New Roman" w:cs="Times New Roman"/>
          <w:sz w:val="24"/>
          <w:szCs w:val="24"/>
        </w:rPr>
        <w:t>.</w:t>
      </w:r>
    </w:p>
    <w:p w14:paraId="7660735D" w14:textId="15B348DB" w:rsidR="006C5B1E" w:rsidRPr="006C5B1E" w:rsidRDefault="006C5B1E" w:rsidP="006C5B1E">
      <w:pPr>
        <w:tabs>
          <w:tab w:val="left" w:pos="1104"/>
        </w:tabs>
        <w:jc w:val="both"/>
        <w:rPr>
          <w:rFonts w:ascii="Times New Roman" w:hAnsi="Times New Roman" w:cs="Times New Roman"/>
          <w:sz w:val="24"/>
          <w:szCs w:val="24"/>
          <w:lang w:val="sr-Latn-RS"/>
        </w:rPr>
      </w:pPr>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Fudbalska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igra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posebno</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na</w:t>
      </w:r>
      <w:proofErr w:type="spellEnd"/>
      <w:r w:rsidRPr="006C5B1E">
        <w:rPr>
          <w:rFonts w:ascii="Times New Roman" w:hAnsi="Times New Roman" w:cs="Times New Roman"/>
          <w:sz w:val="24"/>
          <w:szCs w:val="24"/>
        </w:rPr>
        <w:t xml:space="preserve"> </w:t>
      </w:r>
      <w:proofErr w:type="spellStart"/>
      <w:r w:rsidRPr="006C5B1E">
        <w:rPr>
          <w:rFonts w:ascii="Times New Roman" w:hAnsi="Times New Roman" w:cs="Times New Roman"/>
          <w:sz w:val="24"/>
          <w:szCs w:val="24"/>
        </w:rPr>
        <w:t>doga</w:t>
      </w:r>
      <w:proofErr w:type="spellEnd"/>
      <w:r w:rsidRPr="006C5B1E">
        <w:rPr>
          <w:rFonts w:ascii="Times New Roman" w:hAnsi="Times New Roman" w:cs="Times New Roman"/>
          <w:sz w:val="24"/>
          <w:szCs w:val="24"/>
          <w:lang w:val="sr-Latn-RS"/>
        </w:rPr>
        <w:t xml:space="preserve">đaju kao što je Evropsko prvenstvo, treba da bude ono što spaja pojedince, države, nacije, a ne sredstvo koje će biti iskorišćeno u neke svrhe koje su potpuno suprotne idejama koje fudbalska igra treba da predstavlja, jer kao što vidimo fudbalska igra je već odavno prevazišla granice sporta kao takvog. </w:t>
      </w:r>
    </w:p>
    <w:p w14:paraId="6D369BA3" w14:textId="155FC826" w:rsidR="006C5B1E" w:rsidRPr="006C5B1E" w:rsidRDefault="006C5B1E" w:rsidP="006C5B1E">
      <w:pPr>
        <w:tabs>
          <w:tab w:val="left" w:pos="1104"/>
        </w:tabs>
        <w:jc w:val="both"/>
        <w:rPr>
          <w:rFonts w:ascii="Times New Roman" w:hAnsi="Times New Roman" w:cs="Times New Roman"/>
          <w:sz w:val="24"/>
          <w:szCs w:val="24"/>
          <w:lang w:val="sr-Latn-RS"/>
        </w:rPr>
      </w:pPr>
      <w:r w:rsidRPr="006C5B1E">
        <w:rPr>
          <w:rFonts w:ascii="Times New Roman" w:hAnsi="Times New Roman" w:cs="Times New Roman"/>
          <w:sz w:val="24"/>
          <w:szCs w:val="24"/>
          <w:lang w:val="sr-Latn-RS"/>
        </w:rPr>
        <w:t xml:space="preserve">                     Organizatorima Turnira i UEFA želimo uspešan nastavak EURO 2024 i nadamo se da ovakvih događanja na stadionima u Nemačkoj više neće biti.</w:t>
      </w:r>
    </w:p>
    <w:p w14:paraId="3846C83E" w14:textId="77777777" w:rsidR="006C5B1E" w:rsidRPr="006C5B1E" w:rsidRDefault="006C5B1E" w:rsidP="006C5B1E">
      <w:pPr>
        <w:tabs>
          <w:tab w:val="left" w:pos="1104"/>
        </w:tabs>
        <w:rPr>
          <w:rFonts w:ascii="Times New Roman" w:hAnsi="Times New Roman" w:cs="Times New Roman"/>
          <w:sz w:val="24"/>
          <w:szCs w:val="24"/>
          <w:lang w:val="sr-Latn-RS"/>
        </w:rPr>
      </w:pPr>
    </w:p>
    <w:p w14:paraId="1320DBC3" w14:textId="15CF401D" w:rsidR="006C5B1E" w:rsidRPr="006C5B1E" w:rsidRDefault="006C5B1E" w:rsidP="006C5B1E">
      <w:pPr>
        <w:tabs>
          <w:tab w:val="left" w:pos="1104"/>
        </w:tabs>
        <w:rPr>
          <w:rFonts w:ascii="Times New Roman" w:hAnsi="Times New Roman" w:cs="Times New Roman"/>
          <w:sz w:val="24"/>
          <w:szCs w:val="24"/>
          <w:lang w:val="sr-Latn-RS"/>
        </w:rPr>
      </w:pPr>
      <w:r w:rsidRPr="006C5B1E">
        <w:rPr>
          <w:rFonts w:ascii="Times New Roman" w:hAnsi="Times New Roman" w:cs="Times New Roman"/>
          <w:sz w:val="24"/>
          <w:szCs w:val="24"/>
          <w:lang w:val="sr-Latn-RS"/>
        </w:rPr>
        <w:t>S poštovanjem.</w:t>
      </w:r>
    </w:p>
    <w:p w14:paraId="5DBA27A3" w14:textId="77777777" w:rsidR="006C5B1E" w:rsidRPr="006C5B1E" w:rsidRDefault="006C5B1E" w:rsidP="006C5B1E">
      <w:pPr>
        <w:tabs>
          <w:tab w:val="left" w:pos="1104"/>
        </w:tabs>
        <w:rPr>
          <w:rFonts w:ascii="Times New Roman" w:hAnsi="Times New Roman" w:cs="Times New Roman"/>
          <w:sz w:val="24"/>
          <w:szCs w:val="24"/>
          <w:lang w:val="sr-Latn-RS"/>
        </w:rPr>
      </w:pPr>
    </w:p>
    <w:p w14:paraId="205F0604" w14:textId="77777777" w:rsidR="006C5B1E" w:rsidRPr="006C5B1E" w:rsidRDefault="006C5B1E" w:rsidP="006C5B1E">
      <w:pPr>
        <w:tabs>
          <w:tab w:val="left" w:pos="1104"/>
        </w:tabs>
        <w:rPr>
          <w:rFonts w:ascii="Times New Roman" w:hAnsi="Times New Roman" w:cs="Times New Roman"/>
          <w:sz w:val="24"/>
          <w:szCs w:val="24"/>
          <w:lang w:val="sr-Latn-RS"/>
        </w:rPr>
      </w:pPr>
    </w:p>
    <w:p w14:paraId="625B57EE" w14:textId="77777777" w:rsidR="006C5B1E" w:rsidRPr="006C5B1E" w:rsidRDefault="006C5B1E" w:rsidP="006C5B1E">
      <w:pPr>
        <w:tabs>
          <w:tab w:val="left" w:pos="1104"/>
        </w:tabs>
        <w:rPr>
          <w:rFonts w:ascii="Times New Roman" w:hAnsi="Times New Roman" w:cs="Times New Roman"/>
          <w:sz w:val="24"/>
          <w:szCs w:val="24"/>
          <w:lang w:val="sr-Latn-RS"/>
        </w:rPr>
      </w:pPr>
    </w:p>
    <w:p w14:paraId="4981D548" w14:textId="4B8C96B4" w:rsidR="006C5B1E" w:rsidRDefault="006C5B1E" w:rsidP="006C5B1E">
      <w:pPr>
        <w:tabs>
          <w:tab w:val="left" w:pos="1104"/>
        </w:tabs>
        <w:rPr>
          <w:rFonts w:ascii="Times New Roman" w:hAnsi="Times New Roman" w:cs="Times New Roman"/>
          <w:sz w:val="24"/>
          <w:szCs w:val="24"/>
          <w:lang w:val="sr-Latn-RS"/>
        </w:rPr>
      </w:pPr>
      <w:r w:rsidRPr="006C5B1E">
        <w:rPr>
          <w:rFonts w:ascii="Times New Roman" w:hAnsi="Times New Roman" w:cs="Times New Roman"/>
          <w:sz w:val="24"/>
          <w:szCs w:val="24"/>
          <w:lang w:val="sr-Latn-RS"/>
        </w:rPr>
        <w:t>20.06.2024</w:t>
      </w: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godine</w:t>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t xml:space="preserve">                 </w:t>
      </w: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 xml:space="preserve"> GENERALNI SEKRETAR</w:t>
      </w:r>
    </w:p>
    <w:p w14:paraId="3EEE5B87" w14:textId="77777777" w:rsidR="006C5B1E" w:rsidRPr="006C5B1E" w:rsidRDefault="006C5B1E" w:rsidP="006C5B1E">
      <w:pPr>
        <w:tabs>
          <w:tab w:val="left" w:pos="1104"/>
        </w:tabs>
        <w:rPr>
          <w:rFonts w:ascii="Times New Roman" w:hAnsi="Times New Roman" w:cs="Times New Roman"/>
          <w:sz w:val="24"/>
          <w:szCs w:val="24"/>
          <w:lang w:val="sr-Latn-RS"/>
        </w:rPr>
      </w:pPr>
    </w:p>
    <w:p w14:paraId="14DFF6FD" w14:textId="265168D8" w:rsidR="006C5B1E" w:rsidRPr="006C5B1E" w:rsidRDefault="006C5B1E" w:rsidP="006C5B1E">
      <w:pPr>
        <w:tabs>
          <w:tab w:val="left" w:pos="1104"/>
        </w:tabs>
        <w:rPr>
          <w:rFonts w:ascii="Times New Roman" w:hAnsi="Times New Roman" w:cs="Times New Roman"/>
          <w:b/>
          <w:bCs/>
          <w:sz w:val="24"/>
          <w:szCs w:val="24"/>
          <w:lang w:val="sr-Latn-RS"/>
        </w:rPr>
      </w:pP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r>
      <w:r w:rsidRPr="006C5B1E">
        <w:rPr>
          <w:rFonts w:ascii="Times New Roman" w:hAnsi="Times New Roman" w:cs="Times New Roman"/>
          <w:sz w:val="24"/>
          <w:szCs w:val="24"/>
          <w:lang w:val="sr-Latn-RS"/>
        </w:rPr>
        <w:tab/>
        <w:t xml:space="preserve">                     </w:t>
      </w:r>
      <w:r>
        <w:rPr>
          <w:rFonts w:ascii="Times New Roman" w:hAnsi="Times New Roman" w:cs="Times New Roman"/>
          <w:sz w:val="24"/>
          <w:szCs w:val="24"/>
          <w:lang w:val="sr-Latn-RS"/>
        </w:rPr>
        <w:t xml:space="preserve">  </w:t>
      </w:r>
      <w:r w:rsidRPr="006C5B1E">
        <w:rPr>
          <w:rFonts w:ascii="Times New Roman" w:hAnsi="Times New Roman" w:cs="Times New Roman"/>
          <w:sz w:val="24"/>
          <w:szCs w:val="24"/>
          <w:lang w:val="sr-Latn-RS"/>
        </w:rPr>
        <w:t xml:space="preserve">   </w:t>
      </w:r>
      <w:r w:rsidRPr="006C5B1E">
        <w:rPr>
          <w:rFonts w:ascii="Times New Roman" w:hAnsi="Times New Roman" w:cs="Times New Roman"/>
          <w:b/>
          <w:bCs/>
          <w:sz w:val="24"/>
          <w:szCs w:val="24"/>
          <w:lang w:val="sr-Latn-RS"/>
        </w:rPr>
        <w:t>Jovan ŠURBATOVIĆ</w:t>
      </w:r>
    </w:p>
    <w:p w14:paraId="4A10909A" w14:textId="6F12F47D" w:rsidR="006724A5" w:rsidRPr="006C5B1E" w:rsidRDefault="006724A5" w:rsidP="006C5B1E">
      <w:pPr>
        <w:tabs>
          <w:tab w:val="left" w:pos="1104"/>
        </w:tabs>
        <w:rPr>
          <w:rFonts w:ascii="Times New Roman" w:hAnsi="Times New Roman" w:cs="Times New Roman"/>
          <w:sz w:val="24"/>
          <w:szCs w:val="24"/>
        </w:rPr>
      </w:pPr>
    </w:p>
    <w:p w14:paraId="1F46A7B8" w14:textId="77777777" w:rsidR="006724A5" w:rsidRPr="006C5B1E" w:rsidRDefault="006724A5" w:rsidP="006724A5">
      <w:pPr>
        <w:rPr>
          <w:rFonts w:ascii="Times New Roman" w:hAnsi="Times New Roman" w:cs="Times New Roman"/>
          <w:sz w:val="24"/>
          <w:szCs w:val="24"/>
        </w:rPr>
      </w:pPr>
    </w:p>
    <w:p w14:paraId="4438E495" w14:textId="77777777" w:rsidR="006724A5" w:rsidRPr="006C5B1E" w:rsidRDefault="006724A5" w:rsidP="006724A5">
      <w:pPr>
        <w:rPr>
          <w:sz w:val="24"/>
          <w:szCs w:val="24"/>
        </w:rPr>
      </w:pPr>
    </w:p>
    <w:p w14:paraId="5B4D6849" w14:textId="77777777" w:rsidR="006724A5" w:rsidRPr="006C5B1E" w:rsidRDefault="006724A5" w:rsidP="006724A5">
      <w:pPr>
        <w:rPr>
          <w:sz w:val="24"/>
          <w:szCs w:val="24"/>
        </w:rPr>
      </w:pPr>
    </w:p>
    <w:p w14:paraId="67976D1C" w14:textId="77777777" w:rsidR="006724A5" w:rsidRPr="006724A5" w:rsidRDefault="006724A5" w:rsidP="006724A5"/>
    <w:p w14:paraId="701E8AD3" w14:textId="77777777" w:rsidR="006724A5" w:rsidRDefault="006724A5" w:rsidP="006724A5"/>
    <w:p w14:paraId="1FD0D00E" w14:textId="28CA6987" w:rsidR="006724A5" w:rsidRPr="006724A5" w:rsidRDefault="006724A5" w:rsidP="006724A5">
      <w:pPr>
        <w:tabs>
          <w:tab w:val="left" w:pos="1584"/>
        </w:tabs>
      </w:pPr>
      <w:r>
        <w:tab/>
      </w:r>
    </w:p>
    <w:sectPr w:rsidR="006724A5" w:rsidRPr="006724A5" w:rsidSect="00DD14E8">
      <w:headerReference w:type="default" r:id="rId7"/>
      <w:footerReference w:type="default" r:id="rId8"/>
      <w:pgSz w:w="11906" w:h="16838" w:code="9"/>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9CF64" w14:textId="77777777" w:rsidR="00DE06D3" w:rsidRDefault="00DE06D3" w:rsidP="00F225E7">
      <w:pPr>
        <w:spacing w:after="0" w:line="240" w:lineRule="auto"/>
      </w:pPr>
      <w:r>
        <w:separator/>
      </w:r>
    </w:p>
  </w:endnote>
  <w:endnote w:type="continuationSeparator" w:id="0">
    <w:p w14:paraId="2C9E6553" w14:textId="77777777" w:rsidR="00DE06D3" w:rsidRDefault="00DE06D3" w:rsidP="00F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656" w:type="dxa"/>
      <w:jc w:val="center"/>
      <w:tblBorders>
        <w:top w:val="single" w:sz="8" w:space="0" w:color="B80000"/>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36"/>
      <w:gridCol w:w="1584"/>
      <w:gridCol w:w="1584"/>
      <w:gridCol w:w="1584"/>
      <w:gridCol w:w="1584"/>
      <w:gridCol w:w="1584"/>
    </w:tblGrid>
    <w:tr w:rsidR="00B67EEC" w14:paraId="1904BBF5" w14:textId="3BC4F8E2" w:rsidTr="004D5399">
      <w:trPr>
        <w:trHeight w:val="864"/>
        <w:jc w:val="center"/>
      </w:trPr>
      <w:tc>
        <w:tcPr>
          <w:tcW w:w="2736" w:type="dxa"/>
          <w:tcBorders>
            <w:top w:val="single" w:sz="8" w:space="0" w:color="B80000"/>
          </w:tcBorders>
          <w:vAlign w:val="center"/>
        </w:tcPr>
        <w:p w14:paraId="65EE61CC" w14:textId="2A8D4750" w:rsidR="00B67EEC" w:rsidRDefault="00B67EEC" w:rsidP="00DE5B4F">
          <w:pPr>
            <w:pStyle w:val="Footer"/>
            <w:jc w:val="center"/>
            <w:rPr>
              <w:noProof/>
            </w:rPr>
          </w:pPr>
          <w:r>
            <w:rPr>
              <w:noProof/>
            </w:rPr>
            <w:drawing>
              <wp:inline distT="0" distB="0" distL="0" distR="0" wp14:anchorId="08F59C83" wp14:editId="01E1FADC">
                <wp:extent cx="1627632" cy="320040"/>
                <wp:effectExtent l="0" t="0" r="0" b="3810"/>
                <wp:docPr id="1328085445" name="Picture 132808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627632" cy="320040"/>
                        </a:xfrm>
                        <a:prstGeom prst="rect">
                          <a:avLst/>
                        </a:prstGeom>
                      </pic:spPr>
                    </pic:pic>
                  </a:graphicData>
                </a:graphic>
              </wp:inline>
            </w:drawing>
          </w:r>
        </w:p>
      </w:tc>
      <w:tc>
        <w:tcPr>
          <w:tcW w:w="1584" w:type="dxa"/>
          <w:tcBorders>
            <w:top w:val="single" w:sz="8" w:space="0" w:color="B80000"/>
          </w:tcBorders>
          <w:vAlign w:val="center"/>
        </w:tcPr>
        <w:p w14:paraId="3025BD16" w14:textId="2A71AC5E" w:rsidR="00B67EEC" w:rsidRDefault="00B67EEC" w:rsidP="00DE5B4F">
          <w:pPr>
            <w:pStyle w:val="Footer"/>
            <w:jc w:val="center"/>
          </w:pPr>
          <w:r>
            <w:rPr>
              <w:noProof/>
            </w:rPr>
            <w:drawing>
              <wp:inline distT="0" distB="0" distL="0" distR="0" wp14:anchorId="1715490B" wp14:editId="61A269A7">
                <wp:extent cx="822960" cy="205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extLst>
                            <a:ext uri="{28A0092B-C50C-407E-A947-70E740481C1C}">
                              <a14:useLocalDpi xmlns:a14="http://schemas.microsoft.com/office/drawing/2010/main" val="0"/>
                            </a:ext>
                          </a:extLst>
                        </a:blip>
                        <a:stretch>
                          <a:fillRect/>
                        </a:stretch>
                      </pic:blipFill>
                      <pic:spPr>
                        <a:xfrm>
                          <a:off x="0" y="0"/>
                          <a:ext cx="822960" cy="205740"/>
                        </a:xfrm>
                        <a:prstGeom prst="rect">
                          <a:avLst/>
                        </a:prstGeom>
                      </pic:spPr>
                    </pic:pic>
                  </a:graphicData>
                </a:graphic>
              </wp:inline>
            </w:drawing>
          </w:r>
        </w:p>
      </w:tc>
      <w:tc>
        <w:tcPr>
          <w:tcW w:w="1584" w:type="dxa"/>
          <w:tcBorders>
            <w:top w:val="single" w:sz="8" w:space="0" w:color="B80000"/>
          </w:tcBorders>
          <w:vAlign w:val="center"/>
        </w:tcPr>
        <w:p w14:paraId="32D3B92E" w14:textId="14125CFF" w:rsidR="00B67EEC" w:rsidRDefault="00B67EEC" w:rsidP="00DE5B4F">
          <w:pPr>
            <w:pStyle w:val="Footer"/>
            <w:jc w:val="center"/>
          </w:pPr>
          <w:r>
            <w:rPr>
              <w:noProof/>
            </w:rPr>
            <w:drawing>
              <wp:inline distT="0" distB="0" distL="0" distR="0" wp14:anchorId="6564E676" wp14:editId="23BFB5B0">
                <wp:extent cx="822960" cy="2057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822960" cy="205740"/>
                        </a:xfrm>
                        <a:prstGeom prst="rect">
                          <a:avLst/>
                        </a:prstGeom>
                      </pic:spPr>
                    </pic:pic>
                  </a:graphicData>
                </a:graphic>
              </wp:inline>
            </w:drawing>
          </w:r>
        </w:p>
      </w:tc>
      <w:tc>
        <w:tcPr>
          <w:tcW w:w="1584" w:type="dxa"/>
          <w:tcBorders>
            <w:top w:val="single" w:sz="8" w:space="0" w:color="B80000"/>
          </w:tcBorders>
          <w:vAlign w:val="center"/>
        </w:tcPr>
        <w:p w14:paraId="15FF1621" w14:textId="546CDC26" w:rsidR="00B67EEC" w:rsidRDefault="00B67EEC" w:rsidP="00DE5B4F">
          <w:pPr>
            <w:pStyle w:val="Footer"/>
            <w:jc w:val="center"/>
            <w:rPr>
              <w:noProof/>
            </w:rPr>
          </w:pPr>
          <w:r>
            <w:rPr>
              <w:noProof/>
            </w:rPr>
            <w:drawing>
              <wp:inline distT="0" distB="0" distL="0" distR="0" wp14:anchorId="6F468E45" wp14:editId="3A697C1C">
                <wp:extent cx="822960" cy="2057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822960" cy="205740"/>
                        </a:xfrm>
                        <a:prstGeom prst="rect">
                          <a:avLst/>
                        </a:prstGeom>
                      </pic:spPr>
                    </pic:pic>
                  </a:graphicData>
                </a:graphic>
              </wp:inline>
            </w:drawing>
          </w:r>
        </w:p>
      </w:tc>
      <w:tc>
        <w:tcPr>
          <w:tcW w:w="1584" w:type="dxa"/>
          <w:tcBorders>
            <w:top w:val="single" w:sz="8" w:space="0" w:color="B80000"/>
          </w:tcBorders>
          <w:vAlign w:val="center"/>
        </w:tcPr>
        <w:p w14:paraId="0A4F232A" w14:textId="71D51121" w:rsidR="00B67EEC" w:rsidRDefault="00B67EEC" w:rsidP="00DE5B4F">
          <w:pPr>
            <w:pStyle w:val="Footer"/>
            <w:jc w:val="center"/>
          </w:pPr>
          <w:r>
            <w:rPr>
              <w:noProof/>
            </w:rPr>
            <w:drawing>
              <wp:inline distT="0" distB="0" distL="0" distR="0" wp14:anchorId="2A3F6E09" wp14:editId="34DDAD4A">
                <wp:extent cx="822960" cy="205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extLst>
                            <a:ext uri="{28A0092B-C50C-407E-A947-70E740481C1C}">
                              <a14:useLocalDpi xmlns:a14="http://schemas.microsoft.com/office/drawing/2010/main" val="0"/>
                            </a:ext>
                          </a:extLst>
                        </a:blip>
                        <a:stretch>
                          <a:fillRect/>
                        </a:stretch>
                      </pic:blipFill>
                      <pic:spPr>
                        <a:xfrm>
                          <a:off x="0" y="0"/>
                          <a:ext cx="822960" cy="205740"/>
                        </a:xfrm>
                        <a:prstGeom prst="rect">
                          <a:avLst/>
                        </a:prstGeom>
                      </pic:spPr>
                    </pic:pic>
                  </a:graphicData>
                </a:graphic>
              </wp:inline>
            </w:drawing>
          </w:r>
        </w:p>
      </w:tc>
      <w:tc>
        <w:tcPr>
          <w:tcW w:w="1584" w:type="dxa"/>
          <w:tcBorders>
            <w:top w:val="single" w:sz="8" w:space="0" w:color="B80000"/>
          </w:tcBorders>
          <w:vAlign w:val="center"/>
        </w:tcPr>
        <w:p w14:paraId="0E8CC3F5" w14:textId="23C64357" w:rsidR="00B67EEC" w:rsidRDefault="00B67EEC" w:rsidP="00DE5B4F">
          <w:pPr>
            <w:pStyle w:val="Footer"/>
            <w:jc w:val="center"/>
            <w:rPr>
              <w:noProof/>
            </w:rPr>
          </w:pPr>
          <w:r>
            <w:rPr>
              <w:noProof/>
            </w:rPr>
            <w:drawing>
              <wp:inline distT="0" distB="0" distL="0" distR="0" wp14:anchorId="0812294A" wp14:editId="3BC6B6B4">
                <wp:extent cx="822960" cy="210312"/>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822960" cy="210312"/>
                        </a:xfrm>
                        <a:prstGeom prst="rect">
                          <a:avLst/>
                        </a:prstGeom>
                      </pic:spPr>
                    </pic:pic>
                  </a:graphicData>
                </a:graphic>
              </wp:inline>
            </w:drawing>
          </w:r>
        </w:p>
      </w:tc>
    </w:tr>
  </w:tbl>
  <w:p w14:paraId="2803A079" w14:textId="041E4DE4" w:rsidR="00F225E7" w:rsidRDefault="00F2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D3285" w14:textId="77777777" w:rsidR="00DE06D3" w:rsidRDefault="00DE06D3" w:rsidP="00F225E7">
      <w:pPr>
        <w:spacing w:after="0" w:line="240" w:lineRule="auto"/>
      </w:pPr>
      <w:r>
        <w:separator/>
      </w:r>
    </w:p>
  </w:footnote>
  <w:footnote w:type="continuationSeparator" w:id="0">
    <w:p w14:paraId="395091AF" w14:textId="77777777" w:rsidR="00DE06D3" w:rsidRDefault="00DE06D3" w:rsidP="00F2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6B4337" w14:paraId="3E848A87" w14:textId="77777777" w:rsidTr="00760DCB">
      <w:trPr>
        <w:jc w:val="center"/>
      </w:trPr>
      <w:tc>
        <w:tcPr>
          <w:tcW w:w="10080" w:type="dxa"/>
        </w:tcPr>
        <w:p w14:paraId="5D812565" w14:textId="239D42E8" w:rsidR="006B4337" w:rsidRDefault="006B4337" w:rsidP="00BA2B9A">
          <w:pPr>
            <w:pStyle w:val="Header"/>
            <w:jc w:val="center"/>
          </w:pPr>
          <w:r>
            <w:rPr>
              <w:noProof/>
            </w:rPr>
            <w:drawing>
              <wp:inline distT="0" distB="0" distL="0" distR="0" wp14:anchorId="45960857" wp14:editId="27CADDBB">
                <wp:extent cx="6187320" cy="1045210"/>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187320" cy="1045210"/>
                        </a:xfrm>
                        <a:prstGeom prst="rect">
                          <a:avLst/>
                        </a:prstGeom>
                      </pic:spPr>
                    </pic:pic>
                  </a:graphicData>
                </a:graphic>
              </wp:inline>
            </w:drawing>
          </w:r>
        </w:p>
      </w:tc>
    </w:tr>
  </w:tbl>
  <w:p w14:paraId="09752628" w14:textId="5F71963B" w:rsidR="00F225E7" w:rsidRDefault="00F225E7" w:rsidP="006B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9323C9"/>
    <w:multiLevelType w:val="hybridMultilevel"/>
    <w:tmpl w:val="4B8E00F6"/>
    <w:lvl w:ilvl="0" w:tplc="9588FA2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145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E7"/>
    <w:rsid w:val="000054DE"/>
    <w:rsid w:val="00015F98"/>
    <w:rsid w:val="00026926"/>
    <w:rsid w:val="00036E30"/>
    <w:rsid w:val="000523C1"/>
    <w:rsid w:val="000843CE"/>
    <w:rsid w:val="000A1F41"/>
    <w:rsid w:val="000B7664"/>
    <w:rsid w:val="000E1006"/>
    <w:rsid w:val="000E6936"/>
    <w:rsid w:val="0012095A"/>
    <w:rsid w:val="0014583D"/>
    <w:rsid w:val="00150BBE"/>
    <w:rsid w:val="00152B92"/>
    <w:rsid w:val="00166574"/>
    <w:rsid w:val="00184E5C"/>
    <w:rsid w:val="001963D5"/>
    <w:rsid w:val="001B7378"/>
    <w:rsid w:val="001F0BFD"/>
    <w:rsid w:val="00201A33"/>
    <w:rsid w:val="00211D39"/>
    <w:rsid w:val="00213851"/>
    <w:rsid w:val="00277989"/>
    <w:rsid w:val="002A01CB"/>
    <w:rsid w:val="002B0AD6"/>
    <w:rsid w:val="002B4625"/>
    <w:rsid w:val="002C34AC"/>
    <w:rsid w:val="002C55A5"/>
    <w:rsid w:val="002F0EAD"/>
    <w:rsid w:val="003019A3"/>
    <w:rsid w:val="00326C91"/>
    <w:rsid w:val="003327F2"/>
    <w:rsid w:val="003502FE"/>
    <w:rsid w:val="0039618D"/>
    <w:rsid w:val="003A4161"/>
    <w:rsid w:val="003B69D9"/>
    <w:rsid w:val="003C55E9"/>
    <w:rsid w:val="00422249"/>
    <w:rsid w:val="00424983"/>
    <w:rsid w:val="00425BF4"/>
    <w:rsid w:val="00427D79"/>
    <w:rsid w:val="00430D9A"/>
    <w:rsid w:val="00441D5B"/>
    <w:rsid w:val="00452B78"/>
    <w:rsid w:val="0045498D"/>
    <w:rsid w:val="00466A64"/>
    <w:rsid w:val="004805FA"/>
    <w:rsid w:val="0049208E"/>
    <w:rsid w:val="004A0CCB"/>
    <w:rsid w:val="004B47DA"/>
    <w:rsid w:val="004D5399"/>
    <w:rsid w:val="004E529D"/>
    <w:rsid w:val="004E6B14"/>
    <w:rsid w:val="004E77C0"/>
    <w:rsid w:val="00536F61"/>
    <w:rsid w:val="00547935"/>
    <w:rsid w:val="0056014F"/>
    <w:rsid w:val="005A0041"/>
    <w:rsid w:val="005A57EA"/>
    <w:rsid w:val="005B13FD"/>
    <w:rsid w:val="005B6E4C"/>
    <w:rsid w:val="005D4801"/>
    <w:rsid w:val="005E19CD"/>
    <w:rsid w:val="00604E68"/>
    <w:rsid w:val="00643A7E"/>
    <w:rsid w:val="00660CE1"/>
    <w:rsid w:val="00663CDD"/>
    <w:rsid w:val="006724A5"/>
    <w:rsid w:val="006774B3"/>
    <w:rsid w:val="00684C77"/>
    <w:rsid w:val="00690E8B"/>
    <w:rsid w:val="00694D13"/>
    <w:rsid w:val="006A3F1F"/>
    <w:rsid w:val="006B4337"/>
    <w:rsid w:val="006C5B1E"/>
    <w:rsid w:val="006F030E"/>
    <w:rsid w:val="006F26D0"/>
    <w:rsid w:val="00701906"/>
    <w:rsid w:val="0071655B"/>
    <w:rsid w:val="00716D0E"/>
    <w:rsid w:val="0075796F"/>
    <w:rsid w:val="00760DCB"/>
    <w:rsid w:val="007863A9"/>
    <w:rsid w:val="007B5B43"/>
    <w:rsid w:val="007D2327"/>
    <w:rsid w:val="007D5098"/>
    <w:rsid w:val="007D53D2"/>
    <w:rsid w:val="00807FA3"/>
    <w:rsid w:val="00891473"/>
    <w:rsid w:val="00891C6A"/>
    <w:rsid w:val="008C0CB3"/>
    <w:rsid w:val="00923390"/>
    <w:rsid w:val="009A2A64"/>
    <w:rsid w:val="009A4B97"/>
    <w:rsid w:val="009B26F0"/>
    <w:rsid w:val="009D35D1"/>
    <w:rsid w:val="00A141D1"/>
    <w:rsid w:val="00A205BA"/>
    <w:rsid w:val="00A207AC"/>
    <w:rsid w:val="00A31B47"/>
    <w:rsid w:val="00A3582C"/>
    <w:rsid w:val="00A700A1"/>
    <w:rsid w:val="00AB7E2B"/>
    <w:rsid w:val="00AC7CCB"/>
    <w:rsid w:val="00AD199E"/>
    <w:rsid w:val="00B0709B"/>
    <w:rsid w:val="00B113E5"/>
    <w:rsid w:val="00B16A20"/>
    <w:rsid w:val="00B20677"/>
    <w:rsid w:val="00B252F5"/>
    <w:rsid w:val="00B540F1"/>
    <w:rsid w:val="00B65A64"/>
    <w:rsid w:val="00B6769D"/>
    <w:rsid w:val="00B67EEC"/>
    <w:rsid w:val="00B86743"/>
    <w:rsid w:val="00B97A1F"/>
    <w:rsid w:val="00BA2B9A"/>
    <w:rsid w:val="00BB1A97"/>
    <w:rsid w:val="00BD4859"/>
    <w:rsid w:val="00BE3419"/>
    <w:rsid w:val="00C6159E"/>
    <w:rsid w:val="00C66119"/>
    <w:rsid w:val="00C86ED8"/>
    <w:rsid w:val="00CA1F00"/>
    <w:rsid w:val="00CB48B5"/>
    <w:rsid w:val="00CB55C3"/>
    <w:rsid w:val="00CD74C4"/>
    <w:rsid w:val="00CE565C"/>
    <w:rsid w:val="00D35A90"/>
    <w:rsid w:val="00D36371"/>
    <w:rsid w:val="00D414C8"/>
    <w:rsid w:val="00D61227"/>
    <w:rsid w:val="00D740F2"/>
    <w:rsid w:val="00D81949"/>
    <w:rsid w:val="00D8452A"/>
    <w:rsid w:val="00D86792"/>
    <w:rsid w:val="00D87FB7"/>
    <w:rsid w:val="00D932C2"/>
    <w:rsid w:val="00D94770"/>
    <w:rsid w:val="00DA011A"/>
    <w:rsid w:val="00DA207E"/>
    <w:rsid w:val="00DD14E8"/>
    <w:rsid w:val="00DD18AA"/>
    <w:rsid w:val="00DE06D3"/>
    <w:rsid w:val="00DE5B4F"/>
    <w:rsid w:val="00E0129A"/>
    <w:rsid w:val="00E108CE"/>
    <w:rsid w:val="00E31A41"/>
    <w:rsid w:val="00E41D47"/>
    <w:rsid w:val="00E50F93"/>
    <w:rsid w:val="00E90D99"/>
    <w:rsid w:val="00E945EB"/>
    <w:rsid w:val="00EA1904"/>
    <w:rsid w:val="00EB6C22"/>
    <w:rsid w:val="00EC55B9"/>
    <w:rsid w:val="00EE2F66"/>
    <w:rsid w:val="00F067CD"/>
    <w:rsid w:val="00F225E7"/>
    <w:rsid w:val="00F844CD"/>
    <w:rsid w:val="00FA6D03"/>
    <w:rsid w:val="00FE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76F2"/>
  <w15:chartTrackingRefBased/>
  <w15:docId w15:val="{3DE8495C-088D-4345-B300-EECBB2E3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E7"/>
  </w:style>
  <w:style w:type="paragraph" w:styleId="Footer">
    <w:name w:val="footer"/>
    <w:basedOn w:val="Normal"/>
    <w:link w:val="FooterChar"/>
    <w:uiPriority w:val="99"/>
    <w:unhideWhenUsed/>
    <w:rsid w:val="00F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E7"/>
  </w:style>
  <w:style w:type="table" w:styleId="TableGrid">
    <w:name w:val="Table Grid"/>
    <w:basedOn w:val="TableNormal"/>
    <w:uiPriority w:val="39"/>
    <w:rsid w:val="0068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Kocic</dc:creator>
  <cp:keywords/>
  <dc:description/>
  <cp:lastModifiedBy>Mirko Vrbica</cp:lastModifiedBy>
  <cp:revision>2</cp:revision>
  <cp:lastPrinted>2022-04-08T11:42:00Z</cp:lastPrinted>
  <dcterms:created xsi:type="dcterms:W3CDTF">2024-06-20T12:04:00Z</dcterms:created>
  <dcterms:modified xsi:type="dcterms:W3CDTF">2024-06-20T12:04:00Z</dcterms:modified>
</cp:coreProperties>
</file>